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54CC" w14:textId="46992943" w:rsidR="00B40134" w:rsidRDefault="00B40134" w:rsidP="00B40134">
      <w:pPr>
        <w:pStyle w:val="Heading2"/>
      </w:pPr>
      <w:r w:rsidRPr="0078691F">
        <w:t>Arapahoe Community College – Digital Accessibility Progress Report (HB 21-1110)</w:t>
      </w:r>
      <w:r w:rsidRPr="0078691F">
        <w:br/>
        <w:t xml:space="preserve">Reporting Period: </w:t>
      </w:r>
      <w:r>
        <w:t>2023-2024</w:t>
      </w:r>
    </w:p>
    <w:p w14:paraId="4316D1C1" w14:textId="77777777" w:rsidR="00B40134" w:rsidRPr="00794C6A" w:rsidRDefault="00B40134" w:rsidP="00B40134">
      <w:pPr>
        <w:rPr>
          <w:b/>
          <w:bCs/>
          <w:u w:val="single"/>
        </w:rPr>
      </w:pPr>
      <w:r w:rsidRPr="00794C6A">
        <w:rPr>
          <w:b/>
          <w:bCs/>
          <w:u w:val="single"/>
        </w:rPr>
        <w:t>Introduction</w:t>
      </w:r>
    </w:p>
    <w:p w14:paraId="5D79A311" w14:textId="77777777" w:rsidR="00B40134" w:rsidRPr="00794C6A" w:rsidRDefault="00B40134" w:rsidP="00B40134">
      <w:r w:rsidRPr="00794C6A">
        <w:t>ACC has been working toward making our digital materials accessible for all since 2014. The College began reporting progress annually.</w:t>
      </w:r>
    </w:p>
    <w:p w14:paraId="1E71A7BB" w14:textId="77777777" w:rsidR="00B40134" w:rsidRPr="00794C6A" w:rsidRDefault="00B40134" w:rsidP="00B40134">
      <w:r w:rsidRPr="00794C6A">
        <w:t>This report outlines progress made by Arapahoe Community College (ACC) towards achieving digital accessibility compliance with Colorado House Bill 21-1110 (HB 21-1110).</w:t>
      </w:r>
    </w:p>
    <w:p w14:paraId="093C81A3" w14:textId="77777777" w:rsidR="00B40134" w:rsidRPr="00794C6A" w:rsidRDefault="00B40134" w:rsidP="00B40134">
      <w:pPr>
        <w:rPr>
          <w:b/>
          <w:bCs/>
          <w:u w:val="single"/>
        </w:rPr>
      </w:pPr>
      <w:r w:rsidRPr="00794C6A">
        <w:rPr>
          <w:b/>
          <w:bCs/>
          <w:u w:val="single"/>
        </w:rPr>
        <w:t>Compliance Standards</w:t>
      </w:r>
    </w:p>
    <w:p w14:paraId="7145EF60" w14:textId="77777777" w:rsidR="00B40134" w:rsidRPr="00794C6A" w:rsidRDefault="00B40134" w:rsidP="00B40134">
      <w:r w:rsidRPr="00794C6A">
        <w:t>This report details ACC’s efforts towards compliance with the Web Content Accessibility Guidelines (WCAG) 2.2 at Level AA, as outlined by the Governor’s Office of Information Technology in HB 21-1110.</w:t>
      </w:r>
    </w:p>
    <w:p w14:paraId="4AD218F1" w14:textId="6EB3AA99" w:rsidR="0022664D" w:rsidRPr="004551F3" w:rsidRDefault="000B1E9B" w:rsidP="00432A39">
      <w:pPr>
        <w:rPr>
          <w:b/>
          <w:bCs/>
          <w:u w:val="single"/>
        </w:rPr>
      </w:pPr>
      <w:r w:rsidRPr="004551F3">
        <w:rPr>
          <w:b/>
          <w:bCs/>
          <w:u w:val="single"/>
        </w:rPr>
        <w:t>eLearning Webinars</w:t>
      </w:r>
    </w:p>
    <w:p w14:paraId="431FA4C9" w14:textId="67F278FB" w:rsidR="00437F53" w:rsidRDefault="00437F53" w:rsidP="00437F53">
      <w:r w:rsidRPr="00B957C9">
        <w:t xml:space="preserve">ACC Learning Technology </w:t>
      </w:r>
      <w:r>
        <w:t>offered a :30 minute</w:t>
      </w:r>
      <w:r w:rsidRPr="00B957C9">
        <w:t xml:space="preserve"> Spring webinar series address</w:t>
      </w:r>
      <w:r>
        <w:t>ing</w:t>
      </w:r>
      <w:r w:rsidRPr="00B957C9">
        <w:t xml:space="preserve"> frequent inquiries from both faculty and students, as well as sessions highlighting web accessibility strategies.</w:t>
      </w:r>
      <w:r w:rsidR="004316FA">
        <w:t xml:space="preserve"> </w:t>
      </w:r>
      <w:r w:rsidRPr="00B957C9">
        <w:t>Recorded webinars are available in the </w:t>
      </w:r>
      <w:hyperlink r:id="rId5" w:history="1">
        <w:r w:rsidRPr="00B957C9">
          <w:rPr>
            <w:rStyle w:val="Hyperlink"/>
          </w:rPr>
          <w:t>ACC YuJa Library</w:t>
        </w:r>
      </w:hyperlink>
      <w:r w:rsidRPr="00B957C9">
        <w:t xml:space="preserve">. ACC Learning Technology </w:t>
      </w:r>
      <w:r w:rsidR="004316FA">
        <w:t>also provided</w:t>
      </w:r>
      <w:r w:rsidRPr="00B957C9">
        <w:t xml:space="preserve"> individual training for any topic related to D2L, educational technology, and instructional design. </w:t>
      </w:r>
    </w:p>
    <w:p w14:paraId="01D5F3EF" w14:textId="491F4238" w:rsidR="004551F3" w:rsidRDefault="004551F3" w:rsidP="00437F53">
      <w:r>
        <w:t>Series Courses</w:t>
      </w:r>
    </w:p>
    <w:p w14:paraId="5541295D" w14:textId="090A14CD" w:rsidR="004551F3" w:rsidRDefault="004551F3" w:rsidP="004551F3">
      <w:pPr>
        <w:pStyle w:val="ListParagraph"/>
        <w:numPr>
          <w:ilvl w:val="0"/>
          <w:numId w:val="2"/>
        </w:numPr>
      </w:pPr>
      <w:r>
        <w:t>D2L Quick Start Faculty</w:t>
      </w:r>
    </w:p>
    <w:p w14:paraId="63781893" w14:textId="1C0DA38B" w:rsidR="004551F3" w:rsidRDefault="004551F3" w:rsidP="004551F3">
      <w:pPr>
        <w:pStyle w:val="ListParagraph"/>
        <w:numPr>
          <w:ilvl w:val="0"/>
          <w:numId w:val="2"/>
        </w:numPr>
      </w:pPr>
      <w:r>
        <w:t>Word Accessibility</w:t>
      </w:r>
    </w:p>
    <w:p w14:paraId="28A0C3A9" w14:textId="75A7F05A" w:rsidR="004551F3" w:rsidRDefault="004551F3" w:rsidP="004551F3">
      <w:pPr>
        <w:pStyle w:val="ListParagraph"/>
        <w:numPr>
          <w:ilvl w:val="0"/>
          <w:numId w:val="2"/>
        </w:numPr>
      </w:pPr>
      <w:r>
        <w:t>D2L Course Builder</w:t>
      </w:r>
    </w:p>
    <w:p w14:paraId="4CAF82FE" w14:textId="08CBFA9B" w:rsidR="004551F3" w:rsidRDefault="004551F3" w:rsidP="004551F3">
      <w:pPr>
        <w:pStyle w:val="ListParagraph"/>
        <w:numPr>
          <w:ilvl w:val="0"/>
          <w:numId w:val="2"/>
        </w:numPr>
      </w:pPr>
      <w:r>
        <w:t>PowerPoint Accessibility</w:t>
      </w:r>
    </w:p>
    <w:p w14:paraId="53B78154" w14:textId="5EA4CB37" w:rsidR="004551F3" w:rsidRDefault="004551F3" w:rsidP="004551F3">
      <w:pPr>
        <w:pStyle w:val="ListParagraph"/>
        <w:numPr>
          <w:ilvl w:val="0"/>
          <w:numId w:val="2"/>
        </w:numPr>
      </w:pPr>
      <w:r>
        <w:t>D2L Grades</w:t>
      </w:r>
    </w:p>
    <w:p w14:paraId="019906EE" w14:textId="086AA809" w:rsidR="004551F3" w:rsidRDefault="004551F3" w:rsidP="004551F3">
      <w:pPr>
        <w:pStyle w:val="ListParagraph"/>
        <w:numPr>
          <w:ilvl w:val="0"/>
          <w:numId w:val="2"/>
        </w:numPr>
      </w:pPr>
      <w:r>
        <w:t>SharePoint Basics</w:t>
      </w:r>
    </w:p>
    <w:p w14:paraId="37BA8A96" w14:textId="2CE62979" w:rsidR="004551F3" w:rsidRDefault="004551F3" w:rsidP="004551F3">
      <w:pPr>
        <w:pStyle w:val="ListParagraph"/>
        <w:numPr>
          <w:ilvl w:val="0"/>
          <w:numId w:val="2"/>
        </w:numPr>
      </w:pPr>
      <w:r>
        <w:t>D2L Dates</w:t>
      </w:r>
    </w:p>
    <w:p w14:paraId="5139D456" w14:textId="0DF431D6" w:rsidR="004551F3" w:rsidRDefault="004551F3" w:rsidP="004551F3">
      <w:pPr>
        <w:pStyle w:val="ListParagraph"/>
        <w:numPr>
          <w:ilvl w:val="0"/>
          <w:numId w:val="2"/>
        </w:numPr>
      </w:pPr>
      <w:r>
        <w:t>SharePoint Tips and Tricks</w:t>
      </w:r>
    </w:p>
    <w:p w14:paraId="6D5E4A6A" w14:textId="1F53EE01" w:rsidR="004551F3" w:rsidRDefault="004551F3" w:rsidP="004551F3">
      <w:pPr>
        <w:pStyle w:val="ListParagraph"/>
        <w:numPr>
          <w:ilvl w:val="0"/>
          <w:numId w:val="2"/>
        </w:numPr>
      </w:pPr>
      <w:r>
        <w:t>D2L Assignments</w:t>
      </w:r>
    </w:p>
    <w:p w14:paraId="7CAECE7A" w14:textId="37285646" w:rsidR="004551F3" w:rsidRDefault="00044C20" w:rsidP="004551F3">
      <w:pPr>
        <w:pStyle w:val="ListParagraph"/>
        <w:numPr>
          <w:ilvl w:val="0"/>
          <w:numId w:val="2"/>
        </w:numPr>
      </w:pPr>
      <w:r>
        <w:t>D2L Accessibility</w:t>
      </w:r>
    </w:p>
    <w:p w14:paraId="2594B88E" w14:textId="54E07064" w:rsidR="00044C20" w:rsidRDefault="00044C20" w:rsidP="004551F3">
      <w:pPr>
        <w:pStyle w:val="ListParagraph"/>
        <w:numPr>
          <w:ilvl w:val="0"/>
          <w:numId w:val="2"/>
        </w:numPr>
      </w:pPr>
      <w:r>
        <w:t>D2L Discussions</w:t>
      </w:r>
    </w:p>
    <w:p w14:paraId="7C1B59F4" w14:textId="691527FC" w:rsidR="00044C20" w:rsidRDefault="00044C20" w:rsidP="004551F3">
      <w:pPr>
        <w:pStyle w:val="ListParagraph"/>
        <w:numPr>
          <w:ilvl w:val="0"/>
          <w:numId w:val="2"/>
        </w:numPr>
      </w:pPr>
      <w:r>
        <w:t>D2L Quizzes</w:t>
      </w:r>
    </w:p>
    <w:p w14:paraId="3D46952F" w14:textId="59CC6EEF" w:rsidR="00044C20" w:rsidRDefault="00044C20" w:rsidP="004551F3">
      <w:pPr>
        <w:pStyle w:val="ListParagraph"/>
        <w:numPr>
          <w:ilvl w:val="0"/>
          <w:numId w:val="2"/>
        </w:numPr>
      </w:pPr>
      <w:r>
        <w:t>Finding Captioned Videos</w:t>
      </w:r>
    </w:p>
    <w:p w14:paraId="380FF12D" w14:textId="20788D37" w:rsidR="00044C20" w:rsidRDefault="00044C20" w:rsidP="004551F3">
      <w:pPr>
        <w:pStyle w:val="ListParagraph"/>
        <w:numPr>
          <w:ilvl w:val="0"/>
          <w:numId w:val="2"/>
        </w:numPr>
      </w:pPr>
      <w:r>
        <w:lastRenderedPageBreak/>
        <w:t>D2L Common Errors and How to Fix Them</w:t>
      </w:r>
    </w:p>
    <w:p w14:paraId="40481047" w14:textId="5C88FB93" w:rsidR="00044C20" w:rsidRPr="00B957C9" w:rsidRDefault="00C2156B" w:rsidP="004551F3">
      <w:pPr>
        <w:pStyle w:val="ListParagraph"/>
        <w:numPr>
          <w:ilvl w:val="0"/>
          <w:numId w:val="2"/>
        </w:numPr>
      </w:pPr>
      <w:r>
        <w:t>D2L Quick Eval</w:t>
      </w:r>
    </w:p>
    <w:p w14:paraId="01C6BD48" w14:textId="77777777" w:rsidR="0022664D" w:rsidRDefault="0022664D" w:rsidP="00432A39"/>
    <w:p w14:paraId="14E54D4F" w14:textId="5E41ABF0" w:rsidR="00B40134" w:rsidRPr="00B40134" w:rsidRDefault="00B40134" w:rsidP="00432A39">
      <w:pPr>
        <w:rPr>
          <w:b/>
          <w:bCs/>
          <w:u w:val="single"/>
        </w:rPr>
      </w:pPr>
      <w:r w:rsidRPr="00B40134">
        <w:rPr>
          <w:b/>
          <w:bCs/>
          <w:u w:val="single"/>
        </w:rPr>
        <w:t>Center for Innovation in Teaching and Learning</w:t>
      </w:r>
    </w:p>
    <w:p w14:paraId="447BFD68" w14:textId="669DF958" w:rsidR="00653CC9" w:rsidRPr="00653CC9" w:rsidRDefault="00E350C7" w:rsidP="00653CC9">
      <w:r>
        <w:t xml:space="preserve">Job posting June </w:t>
      </w:r>
      <w:r w:rsidR="00585B4F">
        <w:t xml:space="preserve">2023 for a Director for the Center for Innovation in Teaching and Learning. </w:t>
      </w:r>
      <w:r w:rsidR="00DF0A6F">
        <w:t xml:space="preserve">This position will provide </w:t>
      </w:r>
      <w:r w:rsidR="00432A39" w:rsidRPr="00432A39">
        <w:t>a full set of services around</w:t>
      </w:r>
      <w:r w:rsidR="00DF0A6F">
        <w:t xml:space="preserve"> accessibility, </w:t>
      </w:r>
      <w:r w:rsidR="00432A39" w:rsidRPr="00432A39">
        <w:t>professional development, training, instructional design, and content development designed to help us develop and deliver innovative in-person, hybrid, and online learning experiences</w:t>
      </w:r>
      <w:r w:rsidR="00980912">
        <w:t>.</w:t>
      </w:r>
      <w:r w:rsidR="00653CC9">
        <w:br/>
      </w:r>
      <w:r w:rsidR="00653CC9">
        <w:br/>
      </w:r>
      <w:r w:rsidR="00653CC9" w:rsidRPr="00653CC9">
        <w:rPr>
          <w:b/>
          <w:bCs/>
        </w:rPr>
        <w:t xml:space="preserve">Job Summary </w:t>
      </w:r>
    </w:p>
    <w:p w14:paraId="63B54DD4" w14:textId="77777777" w:rsidR="00653CC9" w:rsidRPr="00653CC9" w:rsidRDefault="00653CC9" w:rsidP="00653CC9">
      <w:r w:rsidRPr="00653CC9">
        <w:t xml:space="preserve">The Director of the Center for Innovation in Teaching and Learning, under the direction of the Senior Information Officer, provides vision, leadership, and advocacy, bringing leading-edge expertise to Arapahoe Community College’s efforts to infuse our pedagogy with best-in-class technology tools, practices, and instructional methods to our in-person, hybrid, and online learning environments. </w:t>
      </w:r>
    </w:p>
    <w:p w14:paraId="3D77B00F" w14:textId="77777777" w:rsidR="00653CC9" w:rsidRPr="00653CC9" w:rsidRDefault="00653CC9" w:rsidP="00653CC9">
      <w:r w:rsidRPr="00653CC9">
        <w:t xml:space="preserve">The Center for Innovation in Teaching and Learning is tasked with combining pedagogical expertise with modern instructional technology to support ACC’s faculty and staff in delivering leading-edge teaching and learning. In this, the Center Director supports the design and development of a technology-enabling learning organization that proactively encourages and responds to the community’s innovative pedagogy and learning management needs through active engagement in implementing professional development, learning technology, instructional design, and content development in a higher education environment. </w:t>
      </w:r>
    </w:p>
    <w:p w14:paraId="33A9F476" w14:textId="77777777" w:rsidR="00653CC9" w:rsidRPr="00653CC9" w:rsidRDefault="00653CC9" w:rsidP="00653CC9">
      <w:r w:rsidRPr="00653CC9">
        <w:t xml:space="preserve">The Center Director provides leadership and supervision for faculty and administrative direct reports, overseeing the day-to-day work of instructional design, faculty professional development, instructional content development, Learning Management Systems (LMS), and training resources. This includes providing direction for project management and coordinating the work of these teams in the department and through cross-functional groups across the College. </w:t>
      </w:r>
    </w:p>
    <w:p w14:paraId="41F7C2B3" w14:textId="1A141183" w:rsidR="00432A39" w:rsidRPr="00432A39" w:rsidRDefault="00653CC9" w:rsidP="00653CC9">
      <w:r w:rsidRPr="00653CC9">
        <w:t xml:space="preserve">While creating and fostering an environment that helps our faculty and staff innovate in their own instruction and student support, the Center Director understands, promotes, and executes the mission, vision, and strategic direction of the Instructional Technology area, ACC, and the Colorado Community College System (CCCS) with the goal of achieving instructional outcomes that align with the Colorado Department of Higher Education </w:t>
      </w:r>
      <w:r w:rsidRPr="00653CC9">
        <w:lastRenderedPageBreak/>
        <w:t>(CDHE). This visible position represents the College to internal and external stakeholders and the community at ACC, at CCCS, and across the Higher Education landscape.</w:t>
      </w:r>
    </w:p>
    <w:p w14:paraId="56137A80" w14:textId="4086DBB7" w:rsidR="00232835" w:rsidRPr="00E551B9" w:rsidRDefault="006A336F">
      <w:pPr>
        <w:rPr>
          <w:b/>
          <w:bCs/>
          <w:u w:val="single"/>
        </w:rPr>
      </w:pPr>
      <w:r w:rsidRPr="00E551B9">
        <w:rPr>
          <w:b/>
          <w:bCs/>
          <w:u w:val="single"/>
        </w:rPr>
        <w:t>Professional Development</w:t>
      </w:r>
    </w:p>
    <w:p w14:paraId="6EB365F7" w14:textId="7EABEB70" w:rsidR="00E551B9" w:rsidRPr="00AA66DE" w:rsidRDefault="00E551B9" w:rsidP="00E551B9">
      <w:r w:rsidRPr="00AA66DE">
        <w:t>At the request of many of our faculty/instructors we offering the following training on implementing accommodations in the classroom</w:t>
      </w:r>
    </w:p>
    <w:p w14:paraId="735BAC03" w14:textId="24741F0D" w:rsidR="00E551B9" w:rsidRPr="00AA66DE" w:rsidRDefault="00E551B9" w:rsidP="00E551B9">
      <w:r w:rsidRPr="00AA66DE">
        <w:t>Training focus:</w:t>
      </w:r>
    </w:p>
    <w:p w14:paraId="1EE2F5E3" w14:textId="77777777" w:rsidR="00E551B9" w:rsidRPr="00AA66DE" w:rsidRDefault="00E551B9" w:rsidP="00E551B9">
      <w:pPr>
        <w:numPr>
          <w:ilvl w:val="0"/>
          <w:numId w:val="1"/>
        </w:numPr>
      </w:pPr>
      <w:r w:rsidRPr="00AA66DE">
        <w:t>Review of key components of ADA and Section 504 and Section 508 that impact classroom accommodations.</w:t>
      </w:r>
    </w:p>
    <w:p w14:paraId="03FFD69E" w14:textId="77777777" w:rsidR="00E551B9" w:rsidRPr="00AA66DE" w:rsidRDefault="00E551B9" w:rsidP="00E551B9">
      <w:pPr>
        <w:numPr>
          <w:ilvl w:val="0"/>
          <w:numId w:val="1"/>
        </w:numPr>
      </w:pPr>
      <w:r w:rsidRPr="00AA66DE">
        <w:t>Forms of disability (high level, not specific conditions) that require reasonable accommodation.</w:t>
      </w:r>
    </w:p>
    <w:p w14:paraId="08D91403" w14:textId="77777777" w:rsidR="00E551B9" w:rsidRPr="00AA66DE" w:rsidRDefault="00E551B9" w:rsidP="00E551B9">
      <w:pPr>
        <w:numPr>
          <w:ilvl w:val="0"/>
          <w:numId w:val="1"/>
        </w:numPr>
      </w:pPr>
      <w:r w:rsidRPr="00AA66DE">
        <w:t>Application of accommodations</w:t>
      </w:r>
    </w:p>
    <w:p w14:paraId="0AE17BCD" w14:textId="77777777" w:rsidR="00E551B9" w:rsidRPr="00AA66DE" w:rsidRDefault="00E551B9" w:rsidP="00E551B9">
      <w:pPr>
        <w:numPr>
          <w:ilvl w:val="0"/>
          <w:numId w:val="1"/>
        </w:numPr>
      </w:pPr>
      <w:r w:rsidRPr="00AA66DE">
        <w:t>Consulting process when an accommodation may be viewed as in conflict with technical standards of a program or the fundamental elements of a course curriculum</w:t>
      </w:r>
    </w:p>
    <w:p w14:paraId="0757309B" w14:textId="77777777" w:rsidR="00E551B9" w:rsidRPr="00AA66DE" w:rsidRDefault="00E551B9" w:rsidP="00E551B9">
      <w:pPr>
        <w:numPr>
          <w:ilvl w:val="0"/>
          <w:numId w:val="1"/>
        </w:numPr>
      </w:pPr>
      <w:r w:rsidRPr="00AA66DE">
        <w:t>Universal Design for Learning- and what might apply</w:t>
      </w:r>
    </w:p>
    <w:p w14:paraId="36F06893" w14:textId="77777777" w:rsidR="00E551B9" w:rsidRPr="00AA66DE" w:rsidRDefault="00E551B9" w:rsidP="00E551B9">
      <w:pPr>
        <w:numPr>
          <w:ilvl w:val="0"/>
          <w:numId w:val="1"/>
        </w:numPr>
      </w:pPr>
      <w:r w:rsidRPr="00AA66DE">
        <w:t>The Interactive process and how that applies to Faculty</w:t>
      </w:r>
    </w:p>
    <w:p w14:paraId="3FE8A712" w14:textId="77777777" w:rsidR="00E551B9" w:rsidRPr="00AA66DE" w:rsidRDefault="00E551B9" w:rsidP="00E551B9">
      <w:pPr>
        <w:numPr>
          <w:ilvl w:val="0"/>
          <w:numId w:val="1"/>
        </w:numPr>
      </w:pPr>
      <w:r w:rsidRPr="00AA66DE">
        <w:t>Campus Partnerships</w:t>
      </w:r>
    </w:p>
    <w:p w14:paraId="5B5E24F2" w14:textId="77777777" w:rsidR="00E551B9" w:rsidRPr="00AA66DE" w:rsidRDefault="00E551B9" w:rsidP="00E551B9">
      <w:pPr>
        <w:numPr>
          <w:ilvl w:val="0"/>
          <w:numId w:val="1"/>
        </w:numPr>
      </w:pPr>
      <w:r w:rsidRPr="00AA66DE">
        <w:t>Successions for making the accommodation process successful via proactive discussion with students upon receipt of a Memo of Accommodation.</w:t>
      </w:r>
    </w:p>
    <w:p w14:paraId="45BC35B9" w14:textId="77777777" w:rsidR="00E551B9" w:rsidRPr="00AA66DE" w:rsidRDefault="00E551B9" w:rsidP="00E551B9">
      <w:pPr>
        <w:numPr>
          <w:ilvl w:val="0"/>
          <w:numId w:val="1"/>
        </w:numPr>
      </w:pPr>
      <w:r w:rsidRPr="00AA66DE">
        <w:t>Throughout- case scenarios as examples</w:t>
      </w:r>
    </w:p>
    <w:p w14:paraId="6065E3EE" w14:textId="77777777" w:rsidR="00E551B9" w:rsidRPr="00AA66DE" w:rsidRDefault="00E551B9" w:rsidP="00E551B9">
      <w:pPr>
        <w:numPr>
          <w:ilvl w:val="0"/>
          <w:numId w:val="1"/>
        </w:numPr>
      </w:pPr>
      <w:r w:rsidRPr="00AA66DE">
        <w:t>Discussion and Questions</w:t>
      </w:r>
    </w:p>
    <w:p w14:paraId="3FE6069D" w14:textId="77777777" w:rsidR="00E551B9" w:rsidRPr="00AA66DE" w:rsidRDefault="00E551B9" w:rsidP="00E551B9">
      <w:pPr>
        <w:numPr>
          <w:ilvl w:val="0"/>
          <w:numId w:val="1"/>
        </w:numPr>
      </w:pPr>
      <w:r w:rsidRPr="00AA66DE">
        <w:t>Title IX and its scope.</w:t>
      </w:r>
    </w:p>
    <w:p w14:paraId="1CC18B24" w14:textId="74986322" w:rsidR="00340DB3" w:rsidRPr="00340DB3" w:rsidRDefault="00340DB3" w:rsidP="00340DB3">
      <w:pPr>
        <w:rPr>
          <w:b/>
          <w:bCs/>
        </w:rPr>
      </w:pPr>
      <w:r w:rsidRPr="00340DB3">
        <w:rPr>
          <w:b/>
          <w:bCs/>
        </w:rPr>
        <w:t>Activities </w:t>
      </w:r>
    </w:p>
    <w:p w14:paraId="0912F6FF" w14:textId="179CF314" w:rsidR="00E30A1F" w:rsidRDefault="00881D95" w:rsidP="00340DB3">
      <w:pPr>
        <w:numPr>
          <w:ilvl w:val="0"/>
          <w:numId w:val="5"/>
        </w:numPr>
      </w:pPr>
      <w:r>
        <w:t>Fall 2023</w:t>
      </w:r>
      <w:r w:rsidR="00487682">
        <w:t xml:space="preserve"> internal newsletter to ACC Staff via SharePoint for accessible </w:t>
      </w:r>
      <w:r w:rsidR="008E0A5F">
        <w:t>accommodations</w:t>
      </w:r>
      <w:r w:rsidR="00E30A1F">
        <w:t xml:space="preserve"> </w:t>
      </w:r>
    </w:p>
    <w:p w14:paraId="0996EC7B" w14:textId="77777777" w:rsidR="00C7631D" w:rsidRDefault="00C7631D" w:rsidP="00C7631D">
      <w:pPr>
        <w:ind w:left="720"/>
      </w:pPr>
    </w:p>
    <w:p w14:paraId="1D65CE58" w14:textId="77777777" w:rsidR="00C7631D" w:rsidRPr="00340DB3" w:rsidRDefault="00C7631D" w:rsidP="00C7631D">
      <w:pPr>
        <w:ind w:left="720"/>
      </w:pPr>
    </w:p>
    <w:p w14:paraId="1067CB35" w14:textId="77777777" w:rsidR="006A336F" w:rsidRDefault="006A336F"/>
    <w:sectPr w:rsidR="006A3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903AE"/>
    <w:multiLevelType w:val="multilevel"/>
    <w:tmpl w:val="CEE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C458F"/>
    <w:multiLevelType w:val="multilevel"/>
    <w:tmpl w:val="63AA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E75B1A"/>
    <w:multiLevelType w:val="hybridMultilevel"/>
    <w:tmpl w:val="5734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245CE"/>
    <w:multiLevelType w:val="multilevel"/>
    <w:tmpl w:val="6288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A768EB"/>
    <w:multiLevelType w:val="multilevel"/>
    <w:tmpl w:val="9716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447533">
    <w:abstractNumId w:val="4"/>
  </w:num>
  <w:num w:numId="2" w16cid:durableId="1472361334">
    <w:abstractNumId w:val="2"/>
  </w:num>
  <w:num w:numId="3" w16cid:durableId="411201199">
    <w:abstractNumId w:val="3"/>
  </w:num>
  <w:num w:numId="4" w16cid:durableId="553539973">
    <w:abstractNumId w:val="0"/>
  </w:num>
  <w:num w:numId="5" w16cid:durableId="1565142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39"/>
    <w:rsid w:val="00044C20"/>
    <w:rsid w:val="000B1E9B"/>
    <w:rsid w:val="0022664D"/>
    <w:rsid w:val="00232835"/>
    <w:rsid w:val="00340DB3"/>
    <w:rsid w:val="004316FA"/>
    <w:rsid w:val="00432A39"/>
    <w:rsid w:val="00437F53"/>
    <w:rsid w:val="004551F3"/>
    <w:rsid w:val="00487682"/>
    <w:rsid w:val="00585B4F"/>
    <w:rsid w:val="00653CC9"/>
    <w:rsid w:val="006A336F"/>
    <w:rsid w:val="00705EAE"/>
    <w:rsid w:val="00881D95"/>
    <w:rsid w:val="008E0A5F"/>
    <w:rsid w:val="00900676"/>
    <w:rsid w:val="00980912"/>
    <w:rsid w:val="009D15F5"/>
    <w:rsid w:val="00B40134"/>
    <w:rsid w:val="00C2156B"/>
    <w:rsid w:val="00C7631D"/>
    <w:rsid w:val="00DF0A6F"/>
    <w:rsid w:val="00E035E7"/>
    <w:rsid w:val="00E30A1F"/>
    <w:rsid w:val="00E350C7"/>
    <w:rsid w:val="00E5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304C"/>
  <w15:chartTrackingRefBased/>
  <w15:docId w15:val="{340A4778-893D-458D-906F-509417D2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A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A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A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A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A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A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A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A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A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A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A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A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A39"/>
    <w:rPr>
      <w:rFonts w:eastAsiaTheme="majorEastAsia" w:cstheme="majorBidi"/>
      <w:color w:val="272727" w:themeColor="text1" w:themeTint="D8"/>
    </w:rPr>
  </w:style>
  <w:style w:type="paragraph" w:styleId="Title">
    <w:name w:val="Title"/>
    <w:basedOn w:val="Normal"/>
    <w:next w:val="Normal"/>
    <w:link w:val="TitleChar"/>
    <w:uiPriority w:val="10"/>
    <w:qFormat/>
    <w:rsid w:val="00432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A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A39"/>
    <w:pPr>
      <w:spacing w:before="160"/>
      <w:jc w:val="center"/>
    </w:pPr>
    <w:rPr>
      <w:i/>
      <w:iCs/>
      <w:color w:val="404040" w:themeColor="text1" w:themeTint="BF"/>
    </w:rPr>
  </w:style>
  <w:style w:type="character" w:customStyle="1" w:styleId="QuoteChar">
    <w:name w:val="Quote Char"/>
    <w:basedOn w:val="DefaultParagraphFont"/>
    <w:link w:val="Quote"/>
    <w:uiPriority w:val="29"/>
    <w:rsid w:val="00432A39"/>
    <w:rPr>
      <w:i/>
      <w:iCs/>
      <w:color w:val="404040" w:themeColor="text1" w:themeTint="BF"/>
    </w:rPr>
  </w:style>
  <w:style w:type="paragraph" w:styleId="ListParagraph">
    <w:name w:val="List Paragraph"/>
    <w:basedOn w:val="Normal"/>
    <w:uiPriority w:val="34"/>
    <w:qFormat/>
    <w:rsid w:val="00432A39"/>
    <w:pPr>
      <w:ind w:left="720"/>
      <w:contextualSpacing/>
    </w:pPr>
  </w:style>
  <w:style w:type="character" w:styleId="IntenseEmphasis">
    <w:name w:val="Intense Emphasis"/>
    <w:basedOn w:val="DefaultParagraphFont"/>
    <w:uiPriority w:val="21"/>
    <w:qFormat/>
    <w:rsid w:val="00432A39"/>
    <w:rPr>
      <w:i/>
      <w:iCs/>
      <w:color w:val="0F4761" w:themeColor="accent1" w:themeShade="BF"/>
    </w:rPr>
  </w:style>
  <w:style w:type="paragraph" w:styleId="IntenseQuote">
    <w:name w:val="Intense Quote"/>
    <w:basedOn w:val="Normal"/>
    <w:next w:val="Normal"/>
    <w:link w:val="IntenseQuoteChar"/>
    <w:uiPriority w:val="30"/>
    <w:qFormat/>
    <w:rsid w:val="00432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A39"/>
    <w:rPr>
      <w:i/>
      <w:iCs/>
      <w:color w:val="0F4761" w:themeColor="accent1" w:themeShade="BF"/>
    </w:rPr>
  </w:style>
  <w:style w:type="character" w:styleId="IntenseReference">
    <w:name w:val="Intense Reference"/>
    <w:basedOn w:val="DefaultParagraphFont"/>
    <w:uiPriority w:val="32"/>
    <w:qFormat/>
    <w:rsid w:val="00432A39"/>
    <w:rPr>
      <w:b/>
      <w:bCs/>
      <w:smallCaps/>
      <w:color w:val="0F4761" w:themeColor="accent1" w:themeShade="BF"/>
      <w:spacing w:val="5"/>
    </w:rPr>
  </w:style>
  <w:style w:type="character" w:styleId="Hyperlink">
    <w:name w:val="Hyperlink"/>
    <w:basedOn w:val="DefaultParagraphFont"/>
    <w:uiPriority w:val="99"/>
    <w:unhideWhenUsed/>
    <w:rsid w:val="00437F5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637153">
      <w:bodyDiv w:val="1"/>
      <w:marLeft w:val="0"/>
      <w:marRight w:val="0"/>
      <w:marTop w:val="0"/>
      <w:marBottom w:val="0"/>
      <w:divBdr>
        <w:top w:val="none" w:sz="0" w:space="0" w:color="auto"/>
        <w:left w:val="none" w:sz="0" w:space="0" w:color="auto"/>
        <w:bottom w:val="none" w:sz="0" w:space="0" w:color="auto"/>
        <w:right w:val="none" w:sz="0" w:space="0" w:color="auto"/>
      </w:divBdr>
    </w:div>
    <w:div w:id="1107433447">
      <w:bodyDiv w:val="1"/>
      <w:marLeft w:val="0"/>
      <w:marRight w:val="0"/>
      <w:marTop w:val="0"/>
      <w:marBottom w:val="0"/>
      <w:divBdr>
        <w:top w:val="none" w:sz="0" w:space="0" w:color="auto"/>
        <w:left w:val="none" w:sz="0" w:space="0" w:color="auto"/>
        <w:bottom w:val="none" w:sz="0" w:space="0" w:color="auto"/>
        <w:right w:val="none" w:sz="0" w:space="0" w:color="auto"/>
      </w:divBdr>
    </w:div>
    <w:div w:id="1317495691">
      <w:bodyDiv w:val="1"/>
      <w:marLeft w:val="0"/>
      <w:marRight w:val="0"/>
      <w:marTop w:val="0"/>
      <w:marBottom w:val="0"/>
      <w:divBdr>
        <w:top w:val="none" w:sz="0" w:space="0" w:color="auto"/>
        <w:left w:val="none" w:sz="0" w:space="0" w:color="auto"/>
        <w:bottom w:val="none" w:sz="0" w:space="0" w:color="auto"/>
        <w:right w:val="none" w:sz="0" w:space="0" w:color="auto"/>
      </w:divBdr>
    </w:div>
    <w:div w:id="17938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c.yuj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Griesheimer, Tina</dc:creator>
  <cp:keywords/>
  <dc:description/>
  <cp:lastModifiedBy>Griesheimer, Tina</cp:lastModifiedBy>
  <cp:revision>8</cp:revision>
  <dcterms:created xsi:type="dcterms:W3CDTF">2025-06-23T21:51:00Z</dcterms:created>
  <dcterms:modified xsi:type="dcterms:W3CDTF">2025-06-23T22:43:00Z</dcterms:modified>
</cp:coreProperties>
</file>